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C37EEC" w:rsidP="00C37EEC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муниципальное бюджетное  общеобразовательное учреждение </w:t>
      </w:r>
      <w:r w:rsidR="00FE1154">
        <w:rPr>
          <w:rFonts w:ascii="Times New Roman" w:hAnsi="Times New Roman" w:cs="Times New Roman"/>
          <w:sz w:val="32"/>
          <w:szCs w:val="32"/>
        </w:rPr>
        <w:t>«Сред</w:t>
      </w:r>
      <w:r>
        <w:rPr>
          <w:rFonts w:ascii="Times New Roman" w:hAnsi="Times New Roman" w:cs="Times New Roman"/>
          <w:sz w:val="32"/>
          <w:szCs w:val="32"/>
        </w:rPr>
        <w:t>няя общеобразовательная школа №19</w:t>
      </w:r>
      <w:r w:rsidR="00FE1154">
        <w:rPr>
          <w:rFonts w:ascii="Times New Roman" w:hAnsi="Times New Roman" w:cs="Times New Roman"/>
          <w:sz w:val="32"/>
          <w:szCs w:val="32"/>
        </w:rPr>
        <w:t xml:space="preserve">»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реестровой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C3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Style w:val="fontstyle01"/>
            <w:rFonts w:ascii="Times New Roman" w:hAnsi="Times New Roman"/>
          </w:rPr>
          <w:t>2012 г</w:t>
        </w:r>
      </w:smartTag>
      <w:r>
        <w:rPr>
          <w:rStyle w:val="fontstyle01"/>
          <w:rFonts w:ascii="Times New Roman" w:hAnsi="Times New Roman"/>
        </w:rPr>
        <w:t>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25.07.2013г. № 100-714 «Об утверждении Порядка регламентации и</w:t>
      </w:r>
    </w:p>
    <w:p w:rsidR="00575B0A" w:rsidRDefault="00575B0A" w:rsidP="00575B0A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575B0A" w:rsidRDefault="00575B0A" w:rsidP="00575B0A">
      <w:pPr>
        <w:spacing w:after="0" w:line="240" w:lineRule="auto"/>
        <w:jc w:val="both"/>
        <w:rPr>
          <w:rFonts w:ascii="Calibri" w:eastAsia="Calibri" w:hAnsi="Calibri"/>
        </w:rPr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575B0A" w:rsidTr="00575B0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75B0A" w:rsidTr="00575B0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75B0A" w:rsidTr="00575B0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575B0A" w:rsidTr="00575B0A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ления Правительства Российской Федерации</w:t>
            </w:r>
          </w:p>
          <w:p w:rsidR="00575B0A" w:rsidRDefault="00575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B0A" w:rsidRDefault="00575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щих изменений</w:t>
            </w:r>
          </w:p>
        </w:tc>
      </w:tr>
    </w:tbl>
    <w:p w:rsidR="00575B0A" w:rsidRDefault="00575B0A" w:rsidP="00575B0A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57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основн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новног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575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основног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ловиями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C3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Российской Федерации (Минобрнауки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575B0A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со статьей 29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lastRenderedPageBreak/>
        <w:t>Раздел 3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57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среднег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575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575B0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C3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Российской Федерации (Минобрнауки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575B0A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Директор                 </w:t>
      </w:r>
      <w:r w:rsidR="008F69F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F69F0">
        <w:rPr>
          <w:rFonts w:ascii="Times New Roman" w:hAnsi="Times New Roman" w:cs="Times New Roman"/>
          <w:sz w:val="24"/>
          <w:szCs w:val="24"/>
        </w:rPr>
        <w:tab/>
      </w:r>
      <w:r w:rsidR="008F69F0">
        <w:rPr>
          <w:rFonts w:ascii="Times New Roman" w:hAnsi="Times New Roman" w:cs="Times New Roman"/>
          <w:sz w:val="24"/>
          <w:szCs w:val="24"/>
        </w:rPr>
        <w:tab/>
      </w:r>
      <w:r w:rsidR="008F69F0">
        <w:rPr>
          <w:rFonts w:ascii="Times New Roman" w:hAnsi="Times New Roman" w:cs="Times New Roman"/>
          <w:sz w:val="24"/>
          <w:szCs w:val="24"/>
        </w:rPr>
        <w:tab/>
      </w:r>
      <w:r w:rsidR="008F69F0">
        <w:rPr>
          <w:rFonts w:ascii="Times New Roman" w:hAnsi="Times New Roman" w:cs="Times New Roman"/>
          <w:sz w:val="24"/>
          <w:szCs w:val="24"/>
        </w:rPr>
        <w:tab/>
      </w:r>
      <w:r w:rsidR="008F69F0">
        <w:rPr>
          <w:rFonts w:ascii="Times New Roman" w:hAnsi="Times New Roman" w:cs="Times New Roman"/>
          <w:sz w:val="24"/>
          <w:szCs w:val="24"/>
        </w:rPr>
        <w:tab/>
      </w:r>
      <w:r w:rsidR="008F69F0">
        <w:rPr>
          <w:rFonts w:ascii="Times New Roman" w:hAnsi="Times New Roman" w:cs="Times New Roman"/>
          <w:sz w:val="24"/>
          <w:szCs w:val="24"/>
        </w:rPr>
        <w:tab/>
      </w:r>
      <w:r w:rsidR="008F69F0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8F69F0">
        <w:rPr>
          <w:rFonts w:ascii="Times New Roman" w:hAnsi="Times New Roman" w:cs="Times New Roman"/>
          <w:sz w:val="24"/>
          <w:szCs w:val="24"/>
        </w:rPr>
        <w:t>Е.В.Пуричи</w:t>
      </w:r>
      <w:proofErr w:type="spellEnd"/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366B6"/>
    <w:rsid w:val="00094035"/>
    <w:rsid w:val="00095129"/>
    <w:rsid w:val="000A49AF"/>
    <w:rsid w:val="000E54EA"/>
    <w:rsid w:val="000F1A58"/>
    <w:rsid w:val="000F695A"/>
    <w:rsid w:val="00145415"/>
    <w:rsid w:val="00160E6E"/>
    <w:rsid w:val="001945D7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75B0A"/>
    <w:rsid w:val="005875FC"/>
    <w:rsid w:val="005F0985"/>
    <w:rsid w:val="005F39F5"/>
    <w:rsid w:val="00611F4E"/>
    <w:rsid w:val="0064547F"/>
    <w:rsid w:val="00690EF2"/>
    <w:rsid w:val="00697909"/>
    <w:rsid w:val="006C7B66"/>
    <w:rsid w:val="006E1FCB"/>
    <w:rsid w:val="006E7A09"/>
    <w:rsid w:val="006F5244"/>
    <w:rsid w:val="00776276"/>
    <w:rsid w:val="00781D2A"/>
    <w:rsid w:val="007B090D"/>
    <w:rsid w:val="007C1348"/>
    <w:rsid w:val="00802504"/>
    <w:rsid w:val="00843757"/>
    <w:rsid w:val="0088756B"/>
    <w:rsid w:val="008901E2"/>
    <w:rsid w:val="008C0329"/>
    <w:rsid w:val="008D42FB"/>
    <w:rsid w:val="008F4CDB"/>
    <w:rsid w:val="008F69F0"/>
    <w:rsid w:val="009233BA"/>
    <w:rsid w:val="00966387"/>
    <w:rsid w:val="0097220B"/>
    <w:rsid w:val="00995EDE"/>
    <w:rsid w:val="009A3076"/>
    <w:rsid w:val="009B7934"/>
    <w:rsid w:val="00A06A1F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817C3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37EEC"/>
    <w:rsid w:val="00C41637"/>
    <w:rsid w:val="00C43287"/>
    <w:rsid w:val="00CA5588"/>
    <w:rsid w:val="00CB1E60"/>
    <w:rsid w:val="00CC0974"/>
    <w:rsid w:val="00CC10E3"/>
    <w:rsid w:val="00CF66AB"/>
    <w:rsid w:val="00D0173C"/>
    <w:rsid w:val="00D139A6"/>
    <w:rsid w:val="00D74FB9"/>
    <w:rsid w:val="00D808E1"/>
    <w:rsid w:val="00D81228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429AB"/>
    <w:rsid w:val="00F45855"/>
    <w:rsid w:val="00F544F4"/>
    <w:rsid w:val="00F84D9D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FCB6D-540E-4C46-B90E-D363B34F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3755</Words>
  <Characters>21405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5</cp:revision>
  <cp:lastPrinted>2016-12-20T01:29:00Z</cp:lastPrinted>
  <dcterms:created xsi:type="dcterms:W3CDTF">2016-12-26T07:02:00Z</dcterms:created>
  <dcterms:modified xsi:type="dcterms:W3CDTF">2016-12-26T07:48:00Z</dcterms:modified>
</cp:coreProperties>
</file>